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AC" w:rsidRPr="00C02FCC" w:rsidRDefault="00C02FCC" w:rsidP="00C02FCC">
      <w:pPr>
        <w:pStyle w:val="NoSpacing"/>
        <w:rPr>
          <w:rFonts w:ascii="Times New Roman" w:hAnsi="Times New Roman" w:cs="Times New Roman"/>
          <w:b/>
          <w:i/>
          <w:sz w:val="24"/>
          <w:szCs w:val="24"/>
        </w:rPr>
      </w:pPr>
      <w:r w:rsidRPr="00C02FCC">
        <w:rPr>
          <w:rFonts w:ascii="Times New Roman" w:hAnsi="Times New Roman" w:cs="Times New Roman"/>
          <w:b/>
          <w:sz w:val="24"/>
          <w:szCs w:val="24"/>
        </w:rPr>
        <w:t>2000 to 2012 Change in Citizen Voting Age Population Database</w:t>
      </w:r>
    </w:p>
    <w:p w:rsidR="00C02FCC" w:rsidRPr="00C02FCC" w:rsidRDefault="00C02FCC" w:rsidP="00C02FCC">
      <w:pPr>
        <w:pStyle w:val="NoSpacing"/>
        <w:rPr>
          <w:rFonts w:ascii="Times New Roman" w:hAnsi="Times New Roman" w:cs="Times New Roman"/>
          <w:b/>
          <w:sz w:val="24"/>
          <w:szCs w:val="24"/>
        </w:rPr>
      </w:pPr>
      <w:r w:rsidRPr="00C02FCC">
        <w:rPr>
          <w:rFonts w:ascii="Times New Roman" w:hAnsi="Times New Roman" w:cs="Times New Roman"/>
          <w:b/>
          <w:sz w:val="24"/>
          <w:szCs w:val="24"/>
        </w:rPr>
        <w:t>The Rose Institute of State and Local Government</w:t>
      </w:r>
    </w:p>
    <w:p w:rsidR="00C02FCC" w:rsidRPr="00C02FCC" w:rsidRDefault="00C02FCC" w:rsidP="00C02FCC">
      <w:pPr>
        <w:pStyle w:val="NoSpacing"/>
        <w:rPr>
          <w:rFonts w:ascii="Times New Roman" w:hAnsi="Times New Roman" w:cs="Times New Roman"/>
          <w:sz w:val="24"/>
          <w:szCs w:val="24"/>
        </w:rPr>
      </w:pPr>
    </w:p>
    <w:p w:rsidR="00C02FCC" w:rsidRPr="00C02FCC" w:rsidRDefault="00C02FCC" w:rsidP="00C02FCC">
      <w:pPr>
        <w:pStyle w:val="NoSpacing"/>
        <w:rPr>
          <w:rFonts w:ascii="Times New Roman" w:hAnsi="Times New Roman" w:cs="Times New Roman"/>
          <w:sz w:val="24"/>
          <w:szCs w:val="24"/>
        </w:rPr>
      </w:pPr>
      <w:r w:rsidRPr="00C02FCC">
        <w:rPr>
          <w:rFonts w:ascii="Times New Roman" w:hAnsi="Times New Roman" w:cs="Times New Roman"/>
          <w:sz w:val="24"/>
          <w:szCs w:val="24"/>
        </w:rPr>
        <w:t>Research Assistants: Tyler Finn (Project Manager), Francesca Hidalgo-</w:t>
      </w:r>
      <w:proofErr w:type="spellStart"/>
      <w:r w:rsidRPr="00C02FCC">
        <w:rPr>
          <w:rFonts w:ascii="Times New Roman" w:hAnsi="Times New Roman" w:cs="Times New Roman"/>
          <w:sz w:val="24"/>
          <w:szCs w:val="24"/>
        </w:rPr>
        <w:t>Wohlleben</w:t>
      </w:r>
      <w:proofErr w:type="spellEnd"/>
    </w:p>
    <w:p w:rsidR="00C02FCC" w:rsidRPr="00C02FCC" w:rsidRDefault="00C02FCC" w:rsidP="00C02FCC">
      <w:pPr>
        <w:pStyle w:val="NoSpacing"/>
        <w:rPr>
          <w:rFonts w:ascii="Times New Roman" w:hAnsi="Times New Roman" w:cs="Times New Roman"/>
          <w:sz w:val="24"/>
          <w:szCs w:val="24"/>
        </w:rPr>
      </w:pPr>
      <w:r w:rsidRPr="00C02FCC">
        <w:rPr>
          <w:rFonts w:ascii="Times New Roman" w:hAnsi="Times New Roman" w:cs="Times New Roman"/>
          <w:sz w:val="24"/>
          <w:szCs w:val="24"/>
        </w:rPr>
        <w:t>Advisor: Douglas Johnson (Institute Fellow)</w:t>
      </w:r>
    </w:p>
    <w:p w:rsidR="00C02FCC" w:rsidRPr="00C02FCC" w:rsidRDefault="00C02FCC" w:rsidP="00C02FCC">
      <w:pPr>
        <w:pStyle w:val="NoSpacing"/>
        <w:rPr>
          <w:rFonts w:ascii="Times New Roman" w:hAnsi="Times New Roman" w:cs="Times New Roman"/>
          <w:sz w:val="24"/>
          <w:szCs w:val="24"/>
        </w:rPr>
      </w:pPr>
    </w:p>
    <w:p w:rsidR="00C02FCC" w:rsidRPr="00C02FCC" w:rsidRDefault="00C02FCC">
      <w:pPr>
        <w:rPr>
          <w:rFonts w:ascii="Times New Roman" w:hAnsi="Times New Roman" w:cs="Times New Roman"/>
          <w:i/>
          <w:sz w:val="24"/>
          <w:szCs w:val="24"/>
        </w:rPr>
      </w:pPr>
      <w:r w:rsidRPr="00C02FCC">
        <w:rPr>
          <w:rFonts w:ascii="Times New Roman" w:hAnsi="Times New Roman" w:cs="Times New Roman"/>
          <w:i/>
          <w:sz w:val="24"/>
          <w:szCs w:val="24"/>
        </w:rPr>
        <w:t>Executive Summary:</w:t>
      </w:r>
    </w:p>
    <w:p w:rsidR="00C02FCC" w:rsidRPr="00C02FCC" w:rsidRDefault="00C02FCC" w:rsidP="00C02FCC">
      <w:pPr>
        <w:shd w:val="clear" w:color="auto" w:fill="FFFFFF"/>
        <w:spacing w:after="0" w:line="240" w:lineRule="auto"/>
        <w:rPr>
          <w:rFonts w:ascii="Times New Roman" w:eastAsia="Times New Roman" w:hAnsi="Times New Roman" w:cs="Times New Roman"/>
          <w:sz w:val="24"/>
          <w:szCs w:val="24"/>
        </w:rPr>
      </w:pPr>
      <w:r w:rsidRPr="00C02FCC">
        <w:rPr>
          <w:rFonts w:ascii="Times New Roman" w:eastAsia="Times New Roman" w:hAnsi="Times New Roman" w:cs="Times New Roman"/>
          <w:sz w:val="24"/>
          <w:szCs w:val="24"/>
        </w:rPr>
        <w:t>Latinos in California are</w:t>
      </w:r>
      <w:r>
        <w:rPr>
          <w:rFonts w:ascii="Times New Roman" w:eastAsia="Times New Roman" w:hAnsi="Times New Roman" w:cs="Times New Roman"/>
          <w:sz w:val="24"/>
          <w:szCs w:val="24"/>
        </w:rPr>
        <w:t xml:space="preserve"> often</w:t>
      </w:r>
      <w:r w:rsidRPr="00C02FCC">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large</w:t>
      </w:r>
      <w:r w:rsidRPr="00C02FCC">
        <w:rPr>
          <w:rFonts w:ascii="Times New Roman" w:eastAsia="Times New Roman" w:hAnsi="Times New Roman" w:cs="Times New Roman"/>
          <w:sz w:val="24"/>
          <w:szCs w:val="24"/>
        </w:rPr>
        <w:t xml:space="preserve"> percentage</w:t>
      </w:r>
      <w:r>
        <w:rPr>
          <w:rFonts w:ascii="Times New Roman" w:eastAsia="Times New Roman" w:hAnsi="Times New Roman" w:cs="Times New Roman"/>
          <w:sz w:val="24"/>
          <w:szCs w:val="24"/>
        </w:rPr>
        <w:t xml:space="preserve"> or plurality</w:t>
      </w:r>
      <w:r w:rsidRPr="00C02FCC">
        <w:rPr>
          <w:rFonts w:ascii="Times New Roman" w:eastAsia="Times New Roman" w:hAnsi="Times New Roman" w:cs="Times New Roman"/>
          <w:sz w:val="24"/>
          <w:szCs w:val="24"/>
        </w:rPr>
        <w:t xml:space="preserve"> of a city’s total population but a significantly lower percentage of a city’s citizens of voting age. The latter is often referred to in voting rights lawsuits as the count of eligible voters in a city. </w:t>
      </w:r>
      <w:r>
        <w:rPr>
          <w:rFonts w:ascii="Times New Roman" w:eastAsia="Times New Roman" w:hAnsi="Times New Roman" w:cs="Times New Roman"/>
          <w:sz w:val="24"/>
          <w:szCs w:val="24"/>
        </w:rPr>
        <w:t>According to</w:t>
      </w:r>
      <w:r w:rsidRPr="00C02FCC">
        <w:rPr>
          <w:rFonts w:ascii="Times New Roman" w:eastAsia="Times New Roman" w:hAnsi="Times New Roman" w:cs="Times New Roman"/>
          <w:sz w:val="24"/>
          <w:szCs w:val="24"/>
        </w:rPr>
        <w:t xml:space="preserve"> the </w:t>
      </w:r>
      <w:r w:rsidRPr="00C02FCC">
        <w:rPr>
          <w:rFonts w:ascii="Times New Roman" w:eastAsia="Times New Roman" w:hAnsi="Times New Roman" w:cs="Times New Roman"/>
          <w:i/>
          <w:iCs/>
          <w:sz w:val="24"/>
          <w:szCs w:val="24"/>
        </w:rPr>
        <w:t>Thornburg </w:t>
      </w:r>
      <w:r w:rsidRPr="00C02FC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C02FCC">
        <w:rPr>
          <w:rFonts w:ascii="Times New Roman" w:eastAsia="Times New Roman" w:hAnsi="Times New Roman" w:cs="Times New Roman"/>
          <w:i/>
          <w:iCs/>
          <w:sz w:val="24"/>
          <w:szCs w:val="24"/>
        </w:rPr>
        <w:t>Bartlett </w:t>
      </w:r>
      <w:r w:rsidRPr="00C02FCC">
        <w:rPr>
          <w:rFonts w:ascii="Times New Roman" w:eastAsia="Times New Roman" w:hAnsi="Times New Roman" w:cs="Times New Roman"/>
          <w:sz w:val="24"/>
          <w:szCs w:val="24"/>
        </w:rPr>
        <w:t>decisions of the US Supreme Court, plaintiffs in a Federal Voting Rights Act lawsuit must prove that a protected class can constitute a majority of a proposed remedy district.</w:t>
      </w:r>
      <w:r w:rsidR="003B7841">
        <w:rPr>
          <w:rStyle w:val="FootnoteReference"/>
          <w:rFonts w:ascii="Times New Roman" w:eastAsia="Times New Roman" w:hAnsi="Times New Roman" w:cs="Times New Roman"/>
          <w:sz w:val="24"/>
          <w:szCs w:val="24"/>
        </w:rPr>
        <w:footnoteReference w:id="1"/>
      </w:r>
      <w:r w:rsidRPr="00C02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Yet, </w:t>
      </w:r>
      <w:r w:rsidRPr="00C02FCC">
        <w:rPr>
          <w:rFonts w:ascii="Times New Roman" w:eastAsia="Times New Roman" w:hAnsi="Times New Roman" w:cs="Times New Roman"/>
          <w:sz w:val="24"/>
          <w:szCs w:val="24"/>
        </w:rPr>
        <w:t>those two rulings are unclear as to a majority of what – total population, voting age population, citizen voting age populati</w:t>
      </w:r>
      <w:bookmarkStart w:id="0" w:name="_GoBack"/>
      <w:bookmarkEnd w:id="0"/>
      <w:r w:rsidRPr="00C02FCC">
        <w:rPr>
          <w:rFonts w:ascii="Times New Roman" w:eastAsia="Times New Roman" w:hAnsi="Times New Roman" w:cs="Times New Roman"/>
          <w:sz w:val="24"/>
          <w:szCs w:val="24"/>
        </w:rPr>
        <w:t>on, or actual voters. In </w:t>
      </w:r>
      <w:r w:rsidRPr="00C02FCC">
        <w:rPr>
          <w:rFonts w:ascii="Times New Roman" w:eastAsia="Times New Roman" w:hAnsi="Times New Roman" w:cs="Times New Roman"/>
          <w:i/>
          <w:iCs/>
          <w:sz w:val="24"/>
          <w:szCs w:val="24"/>
        </w:rPr>
        <w:t>Romero v</w:t>
      </w:r>
      <w:r>
        <w:rPr>
          <w:rFonts w:ascii="Times New Roman" w:eastAsia="Times New Roman" w:hAnsi="Times New Roman" w:cs="Times New Roman"/>
          <w:i/>
          <w:iCs/>
          <w:sz w:val="24"/>
          <w:szCs w:val="24"/>
        </w:rPr>
        <w:t>.</w:t>
      </w:r>
      <w:r w:rsidRPr="00C02FCC">
        <w:rPr>
          <w:rFonts w:ascii="Times New Roman" w:eastAsia="Times New Roman" w:hAnsi="Times New Roman" w:cs="Times New Roman"/>
          <w:i/>
          <w:iCs/>
          <w:sz w:val="24"/>
          <w:szCs w:val="24"/>
        </w:rPr>
        <w:t xml:space="preserve"> City of Pomona,</w:t>
      </w:r>
      <w:r w:rsidRPr="00C02FCC">
        <w:rPr>
          <w:rFonts w:ascii="Times New Roman" w:eastAsia="Times New Roman" w:hAnsi="Times New Roman" w:cs="Times New Roman"/>
          <w:sz w:val="24"/>
          <w:szCs w:val="24"/>
        </w:rPr>
        <w:t xml:space="preserve"> District Court Judge </w:t>
      </w:r>
      <w:proofErr w:type="spellStart"/>
      <w:r w:rsidRPr="00C02FCC">
        <w:rPr>
          <w:rFonts w:ascii="Times New Roman" w:eastAsia="Times New Roman" w:hAnsi="Times New Roman" w:cs="Times New Roman"/>
          <w:sz w:val="24"/>
          <w:szCs w:val="24"/>
        </w:rPr>
        <w:t>Ideman</w:t>
      </w:r>
      <w:proofErr w:type="spellEnd"/>
      <w:r w:rsidRPr="00C02FCC">
        <w:rPr>
          <w:rFonts w:ascii="Times New Roman" w:eastAsia="Times New Roman" w:hAnsi="Times New Roman" w:cs="Times New Roman"/>
          <w:sz w:val="24"/>
          <w:szCs w:val="24"/>
        </w:rPr>
        <w:t xml:space="preserve"> ruled, and the 9</w:t>
      </w:r>
      <w:r w:rsidRPr="00C02FCC">
        <w:rPr>
          <w:rFonts w:ascii="Times New Roman" w:eastAsia="Times New Roman" w:hAnsi="Times New Roman" w:cs="Times New Roman"/>
          <w:sz w:val="24"/>
          <w:szCs w:val="24"/>
          <w:vertAlign w:val="superscript"/>
        </w:rPr>
        <w:t>th</w:t>
      </w:r>
      <w:r w:rsidRPr="00C02FCC">
        <w:rPr>
          <w:rFonts w:ascii="Times New Roman" w:eastAsia="Times New Roman" w:hAnsi="Times New Roman" w:cs="Times New Roman"/>
          <w:sz w:val="24"/>
          <w:szCs w:val="24"/>
        </w:rPr>
        <w:t> Circuit affirmed, that citizen voting age population is the vital number:</w:t>
      </w:r>
    </w:p>
    <w:p w:rsidR="00C02FCC" w:rsidRDefault="00C02FCC" w:rsidP="00C02FCC">
      <w:pPr>
        <w:shd w:val="clear" w:color="auto" w:fill="FFFFFF"/>
        <w:spacing w:after="0" w:line="240" w:lineRule="auto"/>
        <w:ind w:left="720"/>
        <w:rPr>
          <w:rFonts w:ascii="Times New Roman" w:eastAsia="Times New Roman" w:hAnsi="Times New Roman" w:cs="Times New Roman"/>
          <w:sz w:val="24"/>
          <w:szCs w:val="24"/>
        </w:rPr>
      </w:pPr>
    </w:p>
    <w:p w:rsidR="00C02FCC" w:rsidRPr="00C02FCC" w:rsidRDefault="00C02FCC" w:rsidP="00C02FCC">
      <w:pPr>
        <w:shd w:val="clear" w:color="auto" w:fill="FFFFFF"/>
        <w:spacing w:after="0" w:line="240" w:lineRule="auto"/>
        <w:ind w:left="720"/>
        <w:rPr>
          <w:rFonts w:ascii="Times New Roman" w:eastAsia="Times New Roman" w:hAnsi="Times New Roman" w:cs="Times New Roman"/>
          <w:sz w:val="24"/>
          <w:szCs w:val="24"/>
        </w:rPr>
      </w:pPr>
      <w:r w:rsidRPr="00C02FCC">
        <w:rPr>
          <w:rFonts w:ascii="Times New Roman" w:eastAsia="Times New Roman" w:hAnsi="Times New Roman" w:cs="Times New Roman"/>
          <w:sz w:val="24"/>
          <w:szCs w:val="24"/>
        </w:rPr>
        <w:t xml:space="preserve">“The Court finds that geographic compactness is non-existent in the City of Pomona, regardless of whether the </w:t>
      </w:r>
      <w:proofErr w:type="spellStart"/>
      <w:r w:rsidRPr="00C02FCC">
        <w:rPr>
          <w:rFonts w:ascii="Times New Roman" w:eastAsia="Times New Roman" w:hAnsi="Times New Roman" w:cs="Times New Roman"/>
          <w:sz w:val="24"/>
          <w:szCs w:val="24"/>
        </w:rPr>
        <w:t>hispanics</w:t>
      </w:r>
      <w:proofErr w:type="spellEnd"/>
      <w:r w:rsidRPr="00C02FCC">
        <w:rPr>
          <w:rFonts w:ascii="Times New Roman" w:eastAsia="Times New Roman" w:hAnsi="Times New Roman" w:cs="Times New Roman"/>
          <w:sz w:val="24"/>
          <w:szCs w:val="24"/>
        </w:rPr>
        <w:t xml:space="preserve"> and blacks are treated separately or together. After taking into consideration factors such as eligible voting age and citizenship, the evidence conclusively establishes that neither </w:t>
      </w:r>
      <w:proofErr w:type="spellStart"/>
      <w:r w:rsidRPr="00C02FCC">
        <w:rPr>
          <w:rFonts w:ascii="Times New Roman" w:eastAsia="Times New Roman" w:hAnsi="Times New Roman" w:cs="Times New Roman"/>
          <w:sz w:val="24"/>
          <w:szCs w:val="24"/>
        </w:rPr>
        <w:t>hispanics</w:t>
      </w:r>
      <w:proofErr w:type="spellEnd"/>
      <w:r w:rsidRPr="00C02FCC">
        <w:rPr>
          <w:rFonts w:ascii="Times New Roman" w:eastAsia="Times New Roman" w:hAnsi="Times New Roman" w:cs="Times New Roman"/>
          <w:sz w:val="24"/>
          <w:szCs w:val="24"/>
        </w:rPr>
        <w:t xml:space="preserve"> nor blacks can constitute a majority of the voters of any single member district.”</w:t>
      </w:r>
      <w:r w:rsidR="003B7841">
        <w:rPr>
          <w:rStyle w:val="FootnoteReference"/>
          <w:rFonts w:ascii="Times New Roman" w:eastAsia="Times New Roman" w:hAnsi="Times New Roman" w:cs="Times New Roman"/>
          <w:sz w:val="24"/>
          <w:szCs w:val="24"/>
        </w:rPr>
        <w:footnoteReference w:id="2"/>
      </w:r>
    </w:p>
    <w:p w:rsidR="00C02FCC" w:rsidRPr="00C02FCC" w:rsidRDefault="00C02FCC" w:rsidP="00C02FCC">
      <w:pPr>
        <w:shd w:val="clear" w:color="auto" w:fill="FFFFFF"/>
        <w:spacing w:after="0" w:line="240" w:lineRule="auto"/>
        <w:rPr>
          <w:rFonts w:ascii="Times New Roman" w:eastAsia="Times New Roman" w:hAnsi="Times New Roman" w:cs="Times New Roman"/>
          <w:sz w:val="24"/>
          <w:szCs w:val="24"/>
        </w:rPr>
      </w:pPr>
      <w:bookmarkStart w:id="1" w:name="14919e29ca3e3e08__MailEndCompose"/>
      <w:r w:rsidRPr="00C02FCC">
        <w:rPr>
          <w:rFonts w:ascii="Times New Roman" w:eastAsia="Times New Roman" w:hAnsi="Times New Roman" w:cs="Times New Roman"/>
          <w:sz w:val="24"/>
          <w:szCs w:val="24"/>
        </w:rPr>
        <w:t> </w:t>
      </w:r>
      <w:bookmarkEnd w:id="1"/>
    </w:p>
    <w:p w:rsidR="00C02FCC" w:rsidRDefault="00C02FCC" w:rsidP="00C02FCC">
      <w:pPr>
        <w:shd w:val="clear" w:color="auto" w:fill="FFFFFF"/>
        <w:spacing w:after="0" w:line="240" w:lineRule="auto"/>
        <w:rPr>
          <w:rFonts w:ascii="Times New Roman" w:eastAsia="Times New Roman" w:hAnsi="Times New Roman" w:cs="Times New Roman"/>
          <w:sz w:val="24"/>
          <w:szCs w:val="24"/>
        </w:rPr>
      </w:pPr>
      <w:r w:rsidRPr="00C02FCC">
        <w:rPr>
          <w:rFonts w:ascii="Times New Roman" w:eastAsia="Times New Roman" w:hAnsi="Times New Roman" w:cs="Times New Roman"/>
          <w:sz w:val="24"/>
          <w:szCs w:val="24"/>
        </w:rPr>
        <w:t>Despite its importance, Citizen Voting Age Population data is not easy to find or use. The Census Bureau collects the raw counts in the annual American Community Survey. At the Rose Institute, we compiled the data from 2008-2012 five-year ACS tables</w:t>
      </w:r>
      <w:r w:rsidR="00061EC2">
        <w:rPr>
          <w:rFonts w:ascii="Times New Roman" w:eastAsia="Times New Roman" w:hAnsi="Times New Roman" w:cs="Times New Roman"/>
          <w:sz w:val="24"/>
          <w:szCs w:val="24"/>
        </w:rPr>
        <w:t xml:space="preserve"> B05003,</w:t>
      </w:r>
      <w:r w:rsidRPr="00C02FCC">
        <w:rPr>
          <w:rFonts w:ascii="Times New Roman" w:eastAsia="Times New Roman" w:hAnsi="Times New Roman" w:cs="Times New Roman"/>
          <w:sz w:val="24"/>
          <w:szCs w:val="24"/>
        </w:rPr>
        <w:t xml:space="preserve"> </w:t>
      </w:r>
      <w:r w:rsidR="00061EC2">
        <w:rPr>
          <w:rFonts w:ascii="Times New Roman" w:eastAsia="Times New Roman" w:hAnsi="Times New Roman" w:cs="Times New Roman"/>
          <w:sz w:val="24"/>
          <w:szCs w:val="24"/>
        </w:rPr>
        <w:t>B05003B, B05003D, B05003H</w:t>
      </w:r>
      <w:r w:rsidRPr="00C02FCC">
        <w:rPr>
          <w:rFonts w:ascii="Times New Roman" w:eastAsia="Times New Roman" w:hAnsi="Times New Roman" w:cs="Times New Roman"/>
          <w:sz w:val="24"/>
          <w:szCs w:val="24"/>
        </w:rPr>
        <w:t>,</w:t>
      </w:r>
      <w:r w:rsidR="00061EC2">
        <w:rPr>
          <w:rFonts w:ascii="Times New Roman" w:eastAsia="Times New Roman" w:hAnsi="Times New Roman" w:cs="Times New Roman"/>
          <w:sz w:val="24"/>
          <w:szCs w:val="24"/>
        </w:rPr>
        <w:t xml:space="preserve"> and</w:t>
      </w:r>
      <w:r w:rsidRPr="00C02FCC">
        <w:rPr>
          <w:rFonts w:ascii="Times New Roman" w:eastAsia="Times New Roman" w:hAnsi="Times New Roman" w:cs="Times New Roman"/>
          <w:sz w:val="24"/>
          <w:szCs w:val="24"/>
        </w:rPr>
        <w:t xml:space="preserve"> </w:t>
      </w:r>
      <w:r w:rsidR="00061EC2">
        <w:rPr>
          <w:rFonts w:ascii="Times New Roman" w:eastAsia="Times New Roman" w:hAnsi="Times New Roman" w:cs="Times New Roman"/>
          <w:sz w:val="24"/>
          <w:szCs w:val="24"/>
        </w:rPr>
        <w:t xml:space="preserve">B05003I </w:t>
      </w:r>
      <w:r w:rsidRPr="00C02FCC">
        <w:rPr>
          <w:rFonts w:ascii="Times New Roman" w:eastAsia="Times New Roman" w:hAnsi="Times New Roman" w:cs="Times New Roman"/>
          <w:sz w:val="24"/>
          <w:szCs w:val="24"/>
        </w:rPr>
        <w:t>for Census Places in California, removed the unofficial Census Designated Places (CDPs) from the list, combined the tables and calculated percentages for each ethnic group. Then we combined this latest ACS data with</w:t>
      </w:r>
      <w:r w:rsidR="00061EC2">
        <w:rPr>
          <w:rFonts w:ascii="Times New Roman" w:eastAsia="Times New Roman" w:hAnsi="Times New Roman" w:cs="Times New Roman"/>
          <w:sz w:val="24"/>
          <w:szCs w:val="24"/>
        </w:rPr>
        <w:t xml:space="preserve"> the</w:t>
      </w:r>
      <w:r w:rsidRPr="00C02FCC">
        <w:rPr>
          <w:rFonts w:ascii="Times New Roman" w:eastAsia="Times New Roman" w:hAnsi="Times New Roman" w:cs="Times New Roman"/>
          <w:sz w:val="24"/>
          <w:szCs w:val="24"/>
        </w:rPr>
        <w:t xml:space="preserve"> </w:t>
      </w:r>
      <w:r w:rsidR="003B7841" w:rsidRPr="00061EC2">
        <w:rPr>
          <w:rFonts w:ascii="Times New Roman" w:hAnsi="Times New Roman" w:cs="Times New Roman"/>
          <w:i/>
          <w:sz w:val="24"/>
          <w:szCs w:val="24"/>
          <w:shd w:val="clear" w:color="auto" w:fill="FFFFFF"/>
        </w:rPr>
        <w:t>Census 2000 Special Tabulations, Citizenship by Race and Hispanic Origin</w:t>
      </w:r>
      <w:r w:rsidR="00061EC2">
        <w:rPr>
          <w:rStyle w:val="FootnoteReference"/>
          <w:rFonts w:ascii="Times New Roman" w:hAnsi="Times New Roman" w:cs="Times New Roman"/>
          <w:i/>
          <w:sz w:val="24"/>
          <w:szCs w:val="24"/>
          <w:shd w:val="clear" w:color="auto" w:fill="FFFFFF"/>
        </w:rPr>
        <w:footnoteReference w:id="3"/>
      </w:r>
      <w:r w:rsidR="003B7841" w:rsidRPr="00061EC2">
        <w:rPr>
          <w:rFonts w:ascii="Times New Roman" w:hAnsi="Times New Roman" w:cs="Times New Roman"/>
          <w:i/>
          <w:sz w:val="24"/>
          <w:szCs w:val="24"/>
          <w:shd w:val="clear" w:color="auto" w:fill="FFFFFF"/>
        </w:rPr>
        <w:t xml:space="preserve"> </w:t>
      </w:r>
      <w:r w:rsidRPr="00C02FCC">
        <w:rPr>
          <w:rFonts w:ascii="Times New Roman" w:eastAsia="Times New Roman" w:hAnsi="Times New Roman" w:cs="Times New Roman"/>
          <w:sz w:val="24"/>
          <w:szCs w:val="24"/>
        </w:rPr>
        <w:t xml:space="preserve">and calculated growth counts and percentages for each city. Note that </w:t>
      </w:r>
      <w:r w:rsidR="00061EC2">
        <w:rPr>
          <w:rFonts w:ascii="Times New Roman" w:eastAsia="Times New Roman" w:hAnsi="Times New Roman" w:cs="Times New Roman"/>
          <w:sz w:val="24"/>
          <w:szCs w:val="24"/>
        </w:rPr>
        <w:t xml:space="preserve">eight cities </w:t>
      </w:r>
      <w:r w:rsidRPr="00C02FCC">
        <w:rPr>
          <w:rFonts w:ascii="Times New Roman" w:eastAsia="Times New Roman" w:hAnsi="Times New Roman" w:cs="Times New Roman"/>
          <w:sz w:val="24"/>
          <w:szCs w:val="24"/>
        </w:rPr>
        <w:t>in California incorporated after 2000, so comparison data is not available for those cities.</w:t>
      </w:r>
      <w:r w:rsidR="00061EC2">
        <w:rPr>
          <w:rStyle w:val="FootnoteReference"/>
          <w:rFonts w:ascii="Times New Roman" w:eastAsia="Times New Roman" w:hAnsi="Times New Roman" w:cs="Times New Roman"/>
          <w:sz w:val="24"/>
          <w:szCs w:val="24"/>
        </w:rPr>
        <w:footnoteReference w:id="4"/>
      </w:r>
    </w:p>
    <w:p w:rsidR="00C2745F" w:rsidRPr="00C2745F" w:rsidRDefault="00C2745F" w:rsidP="00C2745F">
      <w:pPr>
        <w:pStyle w:val="NormalWeb"/>
        <w:shd w:val="clear" w:color="auto" w:fill="FFFFFF"/>
      </w:pPr>
      <w:r w:rsidRPr="00C2745F">
        <w:t>Because Citizen Voting Age Data is difficult to find p</w:t>
      </w:r>
      <w:r w:rsidRPr="00C2745F">
        <w:t>otential plaintiffs have to hire experts to compile the data for their city b</w:t>
      </w:r>
      <w:r w:rsidRPr="00C2745F">
        <w:t xml:space="preserve">efore they can even file a case. </w:t>
      </w:r>
      <w:r w:rsidRPr="00C2745F">
        <w:t>While experts are still needed to prepare and file a case, the Rose</w:t>
      </w:r>
      <w:r>
        <w:t xml:space="preserve"> Institute</w:t>
      </w:r>
      <w:r w:rsidRPr="00C2745F">
        <w:t xml:space="preserve"> database serves three related very useful purposes: (a) it provides cities with a quick way to look at whether their council is representative of their eligible voter population and, at a basic level, the degree of potential liability they face under the California or Federal Voting Rights Acts; (b) it provides residents of every city in California </w:t>
      </w:r>
      <w:r w:rsidRPr="00C2745F">
        <w:lastRenderedPageBreak/>
        <w:t>with important information on the demographics of their city; (c) it provides statewide voter mobilization and voting rights activists with information at a glance that would otherwise have required the expenditure of thousands of dollars for city by city analysis by expert demographers.</w:t>
      </w:r>
    </w:p>
    <w:p w:rsidR="00C2745F" w:rsidRPr="00C02FCC" w:rsidRDefault="00C2745F" w:rsidP="00C02FCC">
      <w:pPr>
        <w:shd w:val="clear" w:color="auto" w:fill="FFFFFF"/>
        <w:spacing w:after="0" w:line="240" w:lineRule="auto"/>
        <w:rPr>
          <w:rFonts w:ascii="Times New Roman" w:eastAsia="Times New Roman" w:hAnsi="Times New Roman" w:cs="Times New Roman"/>
          <w:sz w:val="24"/>
          <w:szCs w:val="24"/>
        </w:rPr>
      </w:pPr>
    </w:p>
    <w:p w:rsidR="00C02FCC" w:rsidRPr="00C2745F" w:rsidRDefault="00C02FCC">
      <w:pPr>
        <w:rPr>
          <w:rFonts w:ascii="Times New Roman" w:hAnsi="Times New Roman" w:cs="Times New Roman"/>
          <w:sz w:val="24"/>
          <w:szCs w:val="24"/>
        </w:rPr>
      </w:pPr>
    </w:p>
    <w:sectPr w:rsidR="00C02FCC" w:rsidRPr="00C27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41" w:rsidRDefault="003B7841" w:rsidP="003B7841">
      <w:pPr>
        <w:spacing w:after="0" w:line="240" w:lineRule="auto"/>
      </w:pPr>
      <w:r>
        <w:separator/>
      </w:r>
    </w:p>
  </w:endnote>
  <w:endnote w:type="continuationSeparator" w:id="0">
    <w:p w:rsidR="003B7841" w:rsidRDefault="003B7841" w:rsidP="003B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41" w:rsidRDefault="003B7841" w:rsidP="003B7841">
      <w:pPr>
        <w:spacing w:after="0" w:line="240" w:lineRule="auto"/>
      </w:pPr>
      <w:r>
        <w:separator/>
      </w:r>
    </w:p>
  </w:footnote>
  <w:footnote w:type="continuationSeparator" w:id="0">
    <w:p w:rsidR="003B7841" w:rsidRDefault="003B7841" w:rsidP="003B7841">
      <w:pPr>
        <w:spacing w:after="0" w:line="240" w:lineRule="auto"/>
      </w:pPr>
      <w:r>
        <w:continuationSeparator/>
      </w:r>
    </w:p>
  </w:footnote>
  <w:footnote w:id="1">
    <w:p w:rsidR="003B7841" w:rsidRPr="003B7841" w:rsidRDefault="003B7841">
      <w:pPr>
        <w:pStyle w:val="FootnoteText"/>
        <w:rPr>
          <w:rFonts w:ascii="Times New Roman" w:hAnsi="Times New Roman" w:cs="Times New Roman"/>
        </w:rPr>
      </w:pPr>
      <w:r w:rsidRPr="003B7841">
        <w:rPr>
          <w:rStyle w:val="FootnoteReference"/>
          <w:rFonts w:ascii="Times New Roman" w:hAnsi="Times New Roman" w:cs="Times New Roman"/>
        </w:rPr>
        <w:footnoteRef/>
      </w:r>
      <w:r w:rsidRPr="003B7841">
        <w:rPr>
          <w:rFonts w:ascii="Times New Roman" w:hAnsi="Times New Roman" w:cs="Times New Roman"/>
        </w:rPr>
        <w:t xml:space="preserve"> </w:t>
      </w:r>
      <w:proofErr w:type="gramStart"/>
      <w:r w:rsidRPr="003B7841">
        <w:rPr>
          <w:rFonts w:ascii="Times New Roman" w:hAnsi="Times New Roman" w:cs="Times New Roman"/>
          <w:i/>
        </w:rPr>
        <w:t xml:space="preserve">Thornburg v. </w:t>
      </w:r>
      <w:proofErr w:type="spellStart"/>
      <w:r w:rsidRPr="003B7841">
        <w:rPr>
          <w:rFonts w:ascii="Times New Roman" w:hAnsi="Times New Roman" w:cs="Times New Roman"/>
          <w:i/>
        </w:rPr>
        <w:t>Gingles</w:t>
      </w:r>
      <w:proofErr w:type="spellEnd"/>
      <w:r w:rsidRPr="003B7841">
        <w:rPr>
          <w:rFonts w:ascii="Times New Roman" w:hAnsi="Times New Roman" w:cs="Times New Roman"/>
        </w:rPr>
        <w:t>, 478 U.S. 30 (1986).</w:t>
      </w:r>
      <w:proofErr w:type="gramEnd"/>
    </w:p>
    <w:p w:rsidR="003B7841" w:rsidRPr="003B7841" w:rsidRDefault="003B7841">
      <w:pPr>
        <w:pStyle w:val="FootnoteText"/>
        <w:rPr>
          <w:rFonts w:ascii="Times New Roman" w:hAnsi="Times New Roman" w:cs="Times New Roman"/>
        </w:rPr>
      </w:pPr>
      <w:proofErr w:type="gramStart"/>
      <w:r w:rsidRPr="003B7841">
        <w:rPr>
          <w:rFonts w:ascii="Times New Roman" w:hAnsi="Times New Roman" w:cs="Times New Roman"/>
          <w:i/>
        </w:rPr>
        <w:t>Bartlett v. Strickland</w:t>
      </w:r>
      <w:r w:rsidRPr="003B7841">
        <w:rPr>
          <w:rFonts w:ascii="Times New Roman" w:hAnsi="Times New Roman" w:cs="Times New Roman"/>
        </w:rPr>
        <w:t>, 556 U.S. 1 (2009).</w:t>
      </w:r>
      <w:proofErr w:type="gramEnd"/>
    </w:p>
  </w:footnote>
  <w:footnote w:id="2">
    <w:p w:rsidR="003B7841" w:rsidRDefault="003B7841">
      <w:pPr>
        <w:pStyle w:val="FootnoteText"/>
      </w:pPr>
      <w:r w:rsidRPr="003B7841">
        <w:rPr>
          <w:rStyle w:val="FootnoteReference"/>
          <w:rFonts w:ascii="Times New Roman" w:hAnsi="Times New Roman" w:cs="Times New Roman"/>
        </w:rPr>
        <w:footnoteRef/>
      </w:r>
      <w:r w:rsidRPr="003B7841">
        <w:rPr>
          <w:rFonts w:ascii="Times New Roman" w:hAnsi="Times New Roman" w:cs="Times New Roman"/>
        </w:rPr>
        <w:t xml:space="preserve"> </w:t>
      </w:r>
      <w:proofErr w:type="gramStart"/>
      <w:r w:rsidRPr="003B7841">
        <w:rPr>
          <w:rFonts w:ascii="Times New Roman" w:hAnsi="Times New Roman" w:cs="Times New Roman"/>
          <w:i/>
        </w:rPr>
        <w:t>Romero v. City of Pomona</w:t>
      </w:r>
      <w:r w:rsidRPr="003B7841">
        <w:rPr>
          <w:rFonts w:ascii="Times New Roman" w:hAnsi="Times New Roman" w:cs="Times New Roman"/>
        </w:rPr>
        <w:t>, 665 F. Supp. 853 (1987).</w:t>
      </w:r>
      <w:proofErr w:type="gramEnd"/>
      <w:r>
        <w:t xml:space="preserve">  </w:t>
      </w:r>
    </w:p>
  </w:footnote>
  <w:footnote w:id="3">
    <w:p w:rsidR="00061EC2" w:rsidRPr="00061EC2" w:rsidRDefault="00061EC2">
      <w:pPr>
        <w:pStyle w:val="FootnoteText"/>
      </w:pPr>
      <w:r>
        <w:rPr>
          <w:rStyle w:val="FootnoteReference"/>
        </w:rPr>
        <w:footnoteRef/>
      </w:r>
      <w:r>
        <w:t xml:space="preserve"> </w:t>
      </w:r>
      <w:r w:rsidRPr="00061EC2">
        <w:rPr>
          <w:rFonts w:ascii="Times New Roman" w:hAnsi="Times New Roman" w:cs="Times New Roman"/>
          <w:i/>
          <w:shd w:val="clear" w:color="auto" w:fill="FFFFFF"/>
        </w:rPr>
        <w:t>Census 2000 Special Tabulations, Citizenship by Race and Hispanic Origin</w:t>
      </w:r>
      <w:r w:rsidRPr="00061EC2">
        <w:rPr>
          <w:rFonts w:ascii="Times New Roman" w:hAnsi="Times New Roman" w:cs="Times New Roman"/>
          <w:i/>
          <w:shd w:val="clear" w:color="auto" w:fill="FFFFFF"/>
        </w:rPr>
        <w:t xml:space="preserve"> </w:t>
      </w:r>
      <w:r w:rsidRPr="00061EC2">
        <w:rPr>
          <w:rFonts w:ascii="Times New Roman" w:hAnsi="Times New Roman" w:cs="Times New Roman"/>
          <w:i/>
          <w:shd w:val="clear" w:color="auto" w:fill="FFFFFF"/>
        </w:rPr>
        <w:t>(STP76</w:t>
      </w:r>
      <w:r w:rsidRPr="00061EC2">
        <w:rPr>
          <w:rFonts w:ascii="Times New Roman" w:hAnsi="Times New Roman" w:cs="Times New Roman"/>
          <w:shd w:val="clear" w:color="auto" w:fill="FFFFFF"/>
        </w:rPr>
        <w:t>);</w:t>
      </w:r>
      <w:r w:rsidRPr="00061EC2">
        <w:rPr>
          <w:rStyle w:val="apple-converted-space"/>
          <w:rFonts w:ascii="Times New Roman" w:hAnsi="Times New Roman" w:cs="Times New Roman"/>
          <w:shd w:val="clear" w:color="auto" w:fill="FFFFFF"/>
        </w:rPr>
        <w:t> </w:t>
      </w:r>
      <w:r w:rsidRPr="00061EC2">
        <w:rPr>
          <w:rFonts w:ascii="Times New Roman" w:hAnsi="Times New Roman" w:cs="Times New Roman"/>
          <w:shd w:val="clear" w:color="auto" w:fill="FFFFFF"/>
        </w:rPr>
        <w:t>Revised, November 8, 2006</w:t>
      </w:r>
      <w:r>
        <w:rPr>
          <w:rFonts w:ascii="Times New Roman" w:hAnsi="Times New Roman" w:cs="Times New Roman"/>
          <w:shd w:val="clear" w:color="auto" w:fill="FFFFFF"/>
        </w:rPr>
        <w:t>.</w:t>
      </w:r>
    </w:p>
  </w:footnote>
  <w:footnote w:id="4">
    <w:p w:rsidR="00061EC2" w:rsidRPr="00061EC2" w:rsidRDefault="00061EC2" w:rsidP="00061EC2">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Aliso</w:t>
      </w:r>
      <w:proofErr w:type="spellEnd"/>
      <w:r>
        <w:rPr>
          <w:rFonts w:ascii="Times New Roman" w:hAnsi="Times New Roman" w:cs="Times New Roman"/>
        </w:rPr>
        <w:t xml:space="preserve"> Viejo, </w:t>
      </w:r>
      <w:proofErr w:type="spellStart"/>
      <w:r>
        <w:rPr>
          <w:rFonts w:ascii="Times New Roman" w:hAnsi="Times New Roman" w:cs="Times New Roman"/>
        </w:rPr>
        <w:t>Eastvale</w:t>
      </w:r>
      <w:proofErr w:type="spellEnd"/>
      <w:r>
        <w:rPr>
          <w:rFonts w:ascii="Times New Roman" w:hAnsi="Times New Roman" w:cs="Times New Roman"/>
        </w:rPr>
        <w:t xml:space="preserve">, Elk Grove, Goleta, Jurupa Valley, Menifee, Ranch Cordova, and </w:t>
      </w:r>
      <w:proofErr w:type="spellStart"/>
      <w:r>
        <w:rPr>
          <w:rFonts w:ascii="Times New Roman" w:hAnsi="Times New Roman" w:cs="Times New Roman"/>
        </w:rPr>
        <w:t>Wildomar</w:t>
      </w:r>
      <w:proofErr w:type="spellEnd"/>
      <w:r>
        <w:rPr>
          <w:rFonts w:ascii="Times New Roman" w:hAnsi="Times New Roman" w:cs="Times New Roman"/>
        </w:rPr>
        <w:t xml:space="preserve"> were all incorporated after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CF"/>
    <w:rsid w:val="00061EC2"/>
    <w:rsid w:val="00140ACF"/>
    <w:rsid w:val="003B7841"/>
    <w:rsid w:val="00C02FCC"/>
    <w:rsid w:val="00C2745F"/>
    <w:rsid w:val="00E8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FCC"/>
    <w:pPr>
      <w:spacing w:after="0" w:line="240" w:lineRule="auto"/>
    </w:pPr>
  </w:style>
  <w:style w:type="character" w:customStyle="1" w:styleId="apple-converted-space">
    <w:name w:val="apple-converted-space"/>
    <w:basedOn w:val="DefaultParagraphFont"/>
    <w:rsid w:val="00C02FCC"/>
  </w:style>
  <w:style w:type="paragraph" w:styleId="FootnoteText">
    <w:name w:val="footnote text"/>
    <w:basedOn w:val="Normal"/>
    <w:link w:val="FootnoteTextChar"/>
    <w:uiPriority w:val="99"/>
    <w:semiHidden/>
    <w:unhideWhenUsed/>
    <w:rsid w:val="003B78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841"/>
    <w:rPr>
      <w:sz w:val="20"/>
      <w:szCs w:val="20"/>
    </w:rPr>
  </w:style>
  <w:style w:type="character" w:styleId="FootnoteReference">
    <w:name w:val="footnote reference"/>
    <w:basedOn w:val="DefaultParagraphFont"/>
    <w:uiPriority w:val="99"/>
    <w:semiHidden/>
    <w:unhideWhenUsed/>
    <w:rsid w:val="003B7841"/>
    <w:rPr>
      <w:vertAlign w:val="superscript"/>
    </w:rPr>
  </w:style>
  <w:style w:type="paragraph" w:styleId="NormalWeb">
    <w:name w:val="Normal (Web)"/>
    <w:basedOn w:val="Normal"/>
    <w:uiPriority w:val="99"/>
    <w:semiHidden/>
    <w:unhideWhenUsed/>
    <w:rsid w:val="00C274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FCC"/>
    <w:pPr>
      <w:spacing w:after="0" w:line="240" w:lineRule="auto"/>
    </w:pPr>
  </w:style>
  <w:style w:type="character" w:customStyle="1" w:styleId="apple-converted-space">
    <w:name w:val="apple-converted-space"/>
    <w:basedOn w:val="DefaultParagraphFont"/>
    <w:rsid w:val="00C02FCC"/>
  </w:style>
  <w:style w:type="paragraph" w:styleId="FootnoteText">
    <w:name w:val="footnote text"/>
    <w:basedOn w:val="Normal"/>
    <w:link w:val="FootnoteTextChar"/>
    <w:uiPriority w:val="99"/>
    <w:semiHidden/>
    <w:unhideWhenUsed/>
    <w:rsid w:val="003B78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841"/>
    <w:rPr>
      <w:sz w:val="20"/>
      <w:szCs w:val="20"/>
    </w:rPr>
  </w:style>
  <w:style w:type="character" w:styleId="FootnoteReference">
    <w:name w:val="footnote reference"/>
    <w:basedOn w:val="DefaultParagraphFont"/>
    <w:uiPriority w:val="99"/>
    <w:semiHidden/>
    <w:unhideWhenUsed/>
    <w:rsid w:val="003B7841"/>
    <w:rPr>
      <w:vertAlign w:val="superscript"/>
    </w:rPr>
  </w:style>
  <w:style w:type="paragraph" w:styleId="NormalWeb">
    <w:name w:val="Normal (Web)"/>
    <w:basedOn w:val="Normal"/>
    <w:uiPriority w:val="99"/>
    <w:semiHidden/>
    <w:unhideWhenUsed/>
    <w:rsid w:val="00C274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59785">
      <w:bodyDiv w:val="1"/>
      <w:marLeft w:val="0"/>
      <w:marRight w:val="0"/>
      <w:marTop w:val="0"/>
      <w:marBottom w:val="0"/>
      <w:divBdr>
        <w:top w:val="none" w:sz="0" w:space="0" w:color="auto"/>
        <w:left w:val="none" w:sz="0" w:space="0" w:color="auto"/>
        <w:bottom w:val="none" w:sz="0" w:space="0" w:color="auto"/>
        <w:right w:val="none" w:sz="0" w:space="0" w:color="auto"/>
      </w:divBdr>
    </w:div>
    <w:div w:id="11187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6183-F09F-4085-81E4-0E893BED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Information Systems</cp:lastModifiedBy>
  <cp:revision>2</cp:revision>
  <dcterms:created xsi:type="dcterms:W3CDTF">2014-11-12T21:45:00Z</dcterms:created>
  <dcterms:modified xsi:type="dcterms:W3CDTF">2014-11-12T22:28:00Z</dcterms:modified>
</cp:coreProperties>
</file>